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6FE" w:rsidRDefault="00A25C32">
      <w:pPr>
        <w:spacing w:after="120" w:line="240" w:lineRule="auto"/>
        <w:jc w:val="center"/>
        <w:rPr>
          <w:rFonts w:ascii="Poppins" w:eastAsia="Poppins" w:hAnsi="Poppins" w:cs="Poppins"/>
          <w:b/>
          <w:bCs/>
          <w:sz w:val="20"/>
          <w:szCs w:val="20"/>
        </w:rPr>
      </w:pPr>
      <w:bookmarkStart w:id="0" w:name="_GoBack"/>
      <w:bookmarkEnd w:id="0"/>
      <w:r>
        <w:rPr>
          <w:rFonts w:ascii="Poppins" w:eastAsia="Poppins" w:hAnsi="Poppins" w:cs="Poppins"/>
          <w:b/>
          <w:bCs/>
          <w:sz w:val="20"/>
          <w:szCs w:val="20"/>
        </w:rPr>
        <w:t>Invitation presse : Jeudi 8 octobre 2026 à 15h</w:t>
      </w:r>
      <w:r>
        <w:rPr>
          <w:rFonts w:ascii="Poppins" w:eastAsia="Poppins" w:hAnsi="Poppins" w:cs="Poppins"/>
          <w:b/>
          <w:bCs/>
          <w:sz w:val="20"/>
          <w:szCs w:val="20"/>
        </w:rPr>
        <w:br/>
        <w:t>Sur le chantier PARTENORD – 16 rue Fort Louis, 59140 Dunkerque</w:t>
      </w:r>
    </w:p>
    <w:p w:rsidR="000A06FE" w:rsidRDefault="000A06FE">
      <w:pPr>
        <w:spacing w:after="120" w:line="240" w:lineRule="auto"/>
        <w:jc w:val="both"/>
        <w:rPr>
          <w:rFonts w:ascii="Poppins" w:eastAsia="Poppins" w:hAnsi="Poppins" w:cs="Poppins"/>
          <w:b/>
          <w:bCs/>
          <w:sz w:val="20"/>
          <w:szCs w:val="20"/>
        </w:rPr>
      </w:pP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b/>
          <w:bCs/>
          <w:sz w:val="20"/>
          <w:szCs w:val="20"/>
        </w:rPr>
        <w:t>COMMUNIQUÉ DE PRESSE</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À Dunkerque, 10 futurs professionnels formés aux métiers du bardage et de l’isolation thermique par l’extérieur</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Cinq agences d’emploi, le FPETT, AKTO et l’association Impala Avenir Développement, à l’origine du dispositif Les Geeks du Bâtiment, se mobilisent à Dunkerque autour d’un parcours de formation destiné à répondre aux besoins de recrutement dans les métiers de la rénovation énergétique, tout en favorisant l’accès à l’emploi de publics qui en sont éloignés, notamment des jeunes issus des quartiers prioritaires.</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Le projet est soutenu par le FPETT (Fonds Professionnel pour l’Emploi dans le Travail Temporaire) et les Entreprises de Travail Temporaire (ETT), qui en assurent la majorité du financement, et bénéficie de l’appui d’AKTO pour sa mise en œuvre opérationnelle dans le cadre du dispositif SPOTT – Sécurisation des Parcours et Orientation dans le Travail Temporaire.</w:t>
      </w: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b/>
          <w:bCs/>
          <w:sz w:val="20"/>
          <w:szCs w:val="20"/>
        </w:rPr>
        <w:t>Un projet collectif construit à partir des besoins du territoire</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Les SPOTT permettent de construire des formations inter-agences à partir des besoins en compétences identifiés sur un territoire et de mutualiser les besoins de recrutement des agences d’emploi. Ils visent à favoriser l’accès à la qualification et à sécuriser les parcours professionnels des salariés et futurs salariés intérimaires.</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À Dunkerque, cinq agences d’emploi – ERGOS, JANUS, CRIT, INSERTIM et OPALE EMPLOI – se sont ainsi mobilisées autour d’un besoin commun, en lien avec le développement des chantiers de rénovation énergétique du territoire.</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 xml:space="preserve">En amont de la formation, un </w:t>
      </w:r>
      <w:proofErr w:type="spellStart"/>
      <w:r>
        <w:rPr>
          <w:rFonts w:ascii="Poppins" w:eastAsia="Poppins" w:hAnsi="Poppins" w:cs="Poppins"/>
          <w:sz w:val="20"/>
          <w:szCs w:val="20"/>
        </w:rPr>
        <w:t>sourcing</w:t>
      </w:r>
      <w:proofErr w:type="spellEnd"/>
      <w:r>
        <w:rPr>
          <w:rFonts w:ascii="Poppins" w:eastAsia="Poppins" w:hAnsi="Poppins" w:cs="Poppins"/>
          <w:sz w:val="20"/>
          <w:szCs w:val="20"/>
        </w:rPr>
        <w:t xml:space="preserve"> conjoint et ciblé a été organisé avec les agences d’emploi et les acteurs locaux, avec une attention particulière portée aux jeunes issus des quartiers prioritaires de la politique de la ville (QPV).</w:t>
      </w: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b/>
          <w:bCs/>
          <w:sz w:val="20"/>
          <w:szCs w:val="20"/>
        </w:rPr>
        <w:t>Ce projet s’inscrit dans le cadre d’un partenariat avec Les Geeks du Bâtiment, dispositif d’insertion professionnelle conçu par Impala Avenir Développement. Il vise à rapprocher les parcours de formation des besoins et opportunités d’emploi, en associant étroitement  les entreprises, dès la phase initiale. Le dispositif s’appuie notamment sur des chantiers-écoles implantés au cœur des quartiers prioritaires et sur une pédagogie très concrète, au plus près des réalités professionnelles.</w:t>
      </w: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color w:val="222222"/>
          <w:sz w:val="20"/>
          <w:szCs w:val="20"/>
        </w:rPr>
        <w:t xml:space="preserve">Dans ce cadre, la mobilisation des partenaires locaux constitue un levier essentiel pour donner toute sa portée à ce dispositif et en assurer l’ancrage opérationnel sur le territoire. A ce titre, </w:t>
      </w:r>
      <w:proofErr w:type="spellStart"/>
      <w:r>
        <w:rPr>
          <w:rFonts w:ascii="Poppins" w:eastAsia="Poppins" w:hAnsi="Poppins" w:cs="Poppins"/>
          <w:color w:val="222222"/>
          <w:sz w:val="20"/>
          <w:szCs w:val="20"/>
        </w:rPr>
        <w:t>Partenord</w:t>
      </w:r>
      <w:proofErr w:type="spellEnd"/>
      <w:r>
        <w:rPr>
          <w:rFonts w:ascii="Poppins" w:eastAsia="Poppins" w:hAnsi="Poppins" w:cs="Poppins"/>
          <w:color w:val="222222"/>
          <w:sz w:val="20"/>
          <w:szCs w:val="20"/>
        </w:rPr>
        <w:t xml:space="preserve"> le Groupe joue un rôle de facilitateur et de partenaire opérationnel dans cette action des Geeks du Bâtiment. En amont, les équipes de </w:t>
      </w:r>
      <w:proofErr w:type="spellStart"/>
      <w:r>
        <w:rPr>
          <w:rFonts w:ascii="Poppins" w:eastAsia="Poppins" w:hAnsi="Poppins" w:cs="Poppins"/>
          <w:color w:val="222222"/>
          <w:sz w:val="20"/>
          <w:szCs w:val="20"/>
        </w:rPr>
        <w:t>Partenord</w:t>
      </w:r>
      <w:proofErr w:type="spellEnd"/>
      <w:r>
        <w:rPr>
          <w:rFonts w:ascii="Poppins" w:eastAsia="Poppins" w:hAnsi="Poppins" w:cs="Poppins"/>
          <w:color w:val="222222"/>
          <w:sz w:val="20"/>
          <w:szCs w:val="20"/>
        </w:rPr>
        <w:t xml:space="preserve"> le Groupe ont en effet contribué à structurer le projet en mobilisant les acteurs locaux de l’insertion et en identifiant les besoins du territoire. Le Groupe, via </w:t>
      </w:r>
      <w:proofErr w:type="spellStart"/>
      <w:r>
        <w:rPr>
          <w:rFonts w:ascii="Poppins" w:eastAsia="Poppins" w:hAnsi="Poppins" w:cs="Poppins"/>
          <w:color w:val="222222"/>
          <w:sz w:val="20"/>
          <w:szCs w:val="20"/>
        </w:rPr>
        <w:t>Partenord</w:t>
      </w:r>
      <w:proofErr w:type="spellEnd"/>
      <w:r>
        <w:rPr>
          <w:rFonts w:ascii="Poppins" w:eastAsia="Poppins" w:hAnsi="Poppins" w:cs="Poppins"/>
          <w:color w:val="222222"/>
          <w:sz w:val="20"/>
          <w:szCs w:val="20"/>
        </w:rPr>
        <w:t xml:space="preserve"> Habitat, participe également au recrutement des candidats en relayant l’information auprès de ses locataires. Sur le plan opérationnel, il met à disposition, via sa maîtrise d’ouvrage </w:t>
      </w:r>
      <w:proofErr w:type="spellStart"/>
      <w:r>
        <w:rPr>
          <w:rFonts w:ascii="Poppins" w:eastAsia="Poppins" w:hAnsi="Poppins" w:cs="Poppins"/>
          <w:color w:val="222222"/>
          <w:sz w:val="20"/>
          <w:szCs w:val="20"/>
        </w:rPr>
        <w:t>Partéale</w:t>
      </w:r>
      <w:proofErr w:type="spellEnd"/>
      <w:r>
        <w:rPr>
          <w:rFonts w:ascii="Poppins" w:eastAsia="Poppins" w:hAnsi="Poppins" w:cs="Poppins"/>
          <w:color w:val="222222"/>
          <w:sz w:val="20"/>
          <w:szCs w:val="20"/>
        </w:rPr>
        <w:t xml:space="preserve">, un chantier de réhabilitation servant de support pédagogique et permettant aux apprenants d’être formés </w:t>
      </w:r>
      <w:r>
        <w:rPr>
          <w:rFonts w:ascii="Poppins" w:eastAsia="Poppins" w:hAnsi="Poppins" w:cs="Poppins"/>
          <w:color w:val="222222"/>
          <w:sz w:val="20"/>
          <w:szCs w:val="20"/>
        </w:rPr>
        <w:lastRenderedPageBreak/>
        <w:t xml:space="preserve">en conditions réelles. Cet engagement, réalisé à titre gracieux, traduit la volonté de </w:t>
      </w:r>
      <w:proofErr w:type="spellStart"/>
      <w:r>
        <w:rPr>
          <w:rFonts w:ascii="Poppins" w:eastAsia="Poppins" w:hAnsi="Poppins" w:cs="Poppins"/>
          <w:color w:val="222222"/>
          <w:sz w:val="20"/>
          <w:szCs w:val="20"/>
        </w:rPr>
        <w:t>Partenord</w:t>
      </w:r>
      <w:proofErr w:type="spellEnd"/>
      <w:r>
        <w:rPr>
          <w:rFonts w:ascii="Poppins" w:eastAsia="Poppins" w:hAnsi="Poppins" w:cs="Poppins"/>
          <w:color w:val="222222"/>
          <w:sz w:val="20"/>
          <w:szCs w:val="20"/>
        </w:rPr>
        <w:t xml:space="preserve"> le Groupe de favoriser l’insertion professionnelle et de répondre concrètement aux besoins en compétences du territoire. La Communauté urbaine de Dunkerque (CUD) a également accompagné Les Geeks du Bâtiment dans le développement des partenariats avec les acteurs locaux de l’insertion.</w:t>
      </w: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b/>
          <w:bCs/>
          <w:sz w:val="20"/>
          <w:szCs w:val="20"/>
        </w:rPr>
        <w:t>Une formation directement connectée aux réalités des chantiers</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Du 23 juillet au 9 octobre 2026, 10 stagiaires suivent à Dunkerque un parcours de 399 heures, dispensé par City Pro Dunkerque, associant acquisition des compétences techniques, habilitations et mises en situation professionnelle.</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Le programme couvre les différentes étapes d’un chantier d’isolation thermique par l’extérieur (ITE) : préparation et reprise des supports, maçonnerie de base, pose d’isolants, bardage, traitement des points singuliers et finitions, mais aussi pose et dépose de menuiseries extérieures. Les stagiaires apprennent également à réaliser une ITE complète, de la préparation du support au contrôle qualité.</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La pédagogie privilégie très largement la pratique – 75 % du parcours – et intègre les habilitations et formations nécessaires à l’exercice du métier : SST, travail en hauteur, échafaudages, PASI, CACES® R486 nacelle catégorie B et port du harnais.</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Au-delà des gestes techniques, le parcours permet également de développer et d’évaluer trois compétences transversales particulièrement importantes sur un chantier : respecter les cadres réglementaires, s’organiser dans son activité et communiquer en confiance avec les autres.</w:t>
      </w: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b/>
          <w:bCs/>
          <w:sz w:val="20"/>
          <w:szCs w:val="20"/>
        </w:rPr>
        <w:t>Une dynamique déjà visible à mi-parcours</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Le bilan intermédiaire fait ressortir un groupe impliqué et motivé, avec une réelle envie d’apprendre et de progresser. La dynamique collective favorise également les échanges, l’entraide et l’investissement dans la formation.</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Les stagiaires ont progressivement mis en pratique leurs apprentissages à travers différents travaux – nettoyage, sablage, rejointoiement, bardage bois ou encore habillage de fenêtres métalliques – avant leur mise en situation sur chantier.</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Le 8 octobre, partenaires et bénéficiaires se retrouveront pour dresser le bilan de cette action, échanger sur les perspectives professionnelles des participants et célébrer l’aboutissement de leur parcours avec la remise des attestations de formation.</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A06FE">
        <w:tc>
          <w:tcPr>
            <w:tcW w:w="9062" w:type="dxa"/>
            <w:shd w:val="clear" w:color="auto" w:fill="F2F2F2"/>
          </w:tcPr>
          <w:p w:rsidR="000A06FE" w:rsidRDefault="00A25C32">
            <w:pPr>
              <w:spacing w:after="80"/>
              <w:jc w:val="both"/>
              <w:rPr>
                <w:rFonts w:ascii="Poppins" w:eastAsia="Poppins" w:hAnsi="Poppins" w:cs="Poppins"/>
                <w:b/>
                <w:bCs/>
                <w:sz w:val="20"/>
                <w:szCs w:val="20"/>
              </w:rPr>
            </w:pPr>
            <w:r>
              <w:rPr>
                <w:rFonts w:ascii="Poppins" w:eastAsia="Poppins" w:hAnsi="Poppins" w:cs="Poppins"/>
                <w:b/>
                <w:bCs/>
                <w:sz w:val="20"/>
                <w:szCs w:val="20"/>
              </w:rPr>
              <w:t>Invitation presse</w:t>
            </w:r>
          </w:p>
          <w:p w:rsidR="000A06FE" w:rsidRDefault="00A25C32">
            <w:pPr>
              <w:spacing w:after="80"/>
              <w:jc w:val="both"/>
              <w:rPr>
                <w:rFonts w:ascii="Poppins" w:eastAsia="Poppins" w:hAnsi="Poppins" w:cs="Poppins"/>
                <w:b/>
                <w:bCs/>
                <w:sz w:val="20"/>
                <w:szCs w:val="20"/>
              </w:rPr>
            </w:pPr>
            <w:r>
              <w:rPr>
                <w:rFonts w:ascii="Poppins" w:eastAsia="Poppins" w:hAnsi="Poppins" w:cs="Poppins"/>
                <w:b/>
                <w:bCs/>
                <w:sz w:val="20"/>
                <w:szCs w:val="20"/>
              </w:rPr>
              <w:t>Jeudi 8 octobre 2026 à 15h</w:t>
            </w:r>
            <w:r>
              <w:rPr>
                <w:rFonts w:ascii="Poppins" w:eastAsia="Poppins" w:hAnsi="Poppins" w:cs="Poppins"/>
                <w:b/>
                <w:bCs/>
                <w:sz w:val="20"/>
                <w:szCs w:val="20"/>
              </w:rPr>
              <w:br/>
              <w:t>Sur le chantier PARTENORD – 16 rue Fort Louis, 59140 Dunkerque</w:t>
            </w:r>
          </w:p>
          <w:p w:rsidR="000A06FE" w:rsidRDefault="00A25C32">
            <w:pPr>
              <w:spacing w:after="80"/>
              <w:jc w:val="both"/>
              <w:rPr>
                <w:rFonts w:ascii="Poppins" w:eastAsia="Poppins" w:hAnsi="Poppins" w:cs="Poppins"/>
                <w:sz w:val="20"/>
                <w:szCs w:val="20"/>
              </w:rPr>
            </w:pPr>
            <w:r>
              <w:rPr>
                <w:rFonts w:ascii="Poppins" w:eastAsia="Poppins" w:hAnsi="Poppins" w:cs="Poppins"/>
                <w:sz w:val="20"/>
                <w:szCs w:val="20"/>
              </w:rPr>
              <w:t>Les journalistes sont invités à venir découvrir le chantier réalisé par les bénéficiaires, rencontrer les stagiaires et les partenaires du projet, dresser le bilan de l’action et assister à la remise des attestations de formation.</w:t>
            </w:r>
          </w:p>
          <w:p w:rsidR="000A06FE" w:rsidRDefault="00A25C32">
            <w:pPr>
              <w:spacing w:after="80"/>
              <w:jc w:val="both"/>
              <w:rPr>
                <w:rFonts w:ascii="Poppins" w:eastAsia="Poppins" w:hAnsi="Poppins" w:cs="Poppins"/>
                <w:b/>
                <w:bCs/>
                <w:sz w:val="20"/>
                <w:szCs w:val="20"/>
              </w:rPr>
            </w:pPr>
            <w:r>
              <w:rPr>
                <w:rFonts w:ascii="Poppins" w:eastAsia="Poppins" w:hAnsi="Poppins" w:cs="Poppins"/>
                <w:sz w:val="20"/>
                <w:szCs w:val="20"/>
              </w:rPr>
              <w:t xml:space="preserve">Cette rencontre réunira City Pro, Impala Avenir Développement / Les Geeks du Bâtiment, le FPETT, AKTO, les agences d’emploi partenaires – </w:t>
            </w:r>
            <w:proofErr w:type="spellStart"/>
            <w:r>
              <w:rPr>
                <w:rFonts w:ascii="Poppins" w:eastAsia="Poppins" w:hAnsi="Poppins" w:cs="Poppins"/>
                <w:sz w:val="20"/>
                <w:szCs w:val="20"/>
              </w:rPr>
              <w:t>Actual</w:t>
            </w:r>
            <w:proofErr w:type="spellEnd"/>
            <w:r>
              <w:rPr>
                <w:rFonts w:ascii="Poppins" w:eastAsia="Poppins" w:hAnsi="Poppins" w:cs="Poppins"/>
                <w:sz w:val="20"/>
                <w:szCs w:val="20"/>
              </w:rPr>
              <w:t xml:space="preserve">/ERGOS, CRIT BTP, INSERTIM et JANUS – ainsi que </w:t>
            </w:r>
            <w:proofErr w:type="spellStart"/>
            <w:r>
              <w:rPr>
                <w:rFonts w:ascii="Poppins" w:eastAsia="Poppins" w:hAnsi="Poppins" w:cs="Poppins"/>
                <w:sz w:val="20"/>
                <w:szCs w:val="20"/>
              </w:rPr>
              <w:t>Partenord</w:t>
            </w:r>
            <w:proofErr w:type="spellEnd"/>
            <w:r>
              <w:rPr>
                <w:rFonts w:ascii="Poppins" w:eastAsia="Poppins" w:hAnsi="Poppins" w:cs="Poppins"/>
                <w:sz w:val="20"/>
                <w:szCs w:val="20"/>
              </w:rPr>
              <w:t xml:space="preserve"> Habitat, la Communauté urbaine de Dunkerque, la Ville de Dunkerque et l’ANRU.</w:t>
            </w:r>
          </w:p>
        </w:tc>
      </w:tr>
    </w:tbl>
    <w:p w:rsidR="000A06FE" w:rsidRDefault="000A06FE">
      <w:pPr>
        <w:spacing w:after="120" w:line="240" w:lineRule="auto"/>
        <w:jc w:val="both"/>
        <w:rPr>
          <w:rFonts w:ascii="Poppins" w:eastAsia="Poppins" w:hAnsi="Poppins" w:cs="Poppins"/>
          <w:b/>
          <w:bCs/>
          <w:sz w:val="20"/>
          <w:szCs w:val="20"/>
        </w:rPr>
      </w:pPr>
    </w:p>
    <w:p w:rsidR="000A06FE" w:rsidRDefault="00A25C32">
      <w:pPr>
        <w:spacing w:after="120" w:line="240" w:lineRule="auto"/>
        <w:jc w:val="both"/>
        <w:rPr>
          <w:rFonts w:ascii="Poppins" w:eastAsia="Poppins" w:hAnsi="Poppins" w:cs="Poppins"/>
          <w:b/>
          <w:bCs/>
          <w:sz w:val="20"/>
          <w:szCs w:val="20"/>
        </w:rPr>
      </w:pPr>
      <w:r>
        <w:rPr>
          <w:rFonts w:ascii="Poppins" w:eastAsia="Poppins" w:hAnsi="Poppins" w:cs="Poppins"/>
          <w:b/>
          <w:bCs/>
          <w:sz w:val="20"/>
          <w:szCs w:val="20"/>
        </w:rPr>
        <w:t>À propos du partenariat FPETT –Les Geeks du Bâtiment</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 xml:space="preserve">Le partenariat vise à développer des </w:t>
      </w:r>
      <w:r>
        <w:rPr>
          <w:rFonts w:ascii="Poppins" w:eastAsia="Poppins" w:hAnsi="Poppins" w:cs="Poppins"/>
          <w:b/>
          <w:bCs/>
          <w:sz w:val="20"/>
          <w:szCs w:val="20"/>
        </w:rPr>
        <w:t>parcours collectifs de formation sur mesure aux métiers du bâtiment</w:t>
      </w:r>
      <w:r>
        <w:rPr>
          <w:rFonts w:ascii="Poppins" w:eastAsia="Poppins" w:hAnsi="Poppins" w:cs="Poppins"/>
          <w:sz w:val="20"/>
          <w:szCs w:val="20"/>
        </w:rPr>
        <w:t>, en articulant l'ingénierie SPOTT avec l'approche immersive des Geeks du Bâtiment. Il associe acteurs de l'emploi et de la formation, agences d'emploi, bailleurs sociaux, collectivités et entreprises afin de sécuriser les parcours et de répondre aux besoins de recrutement locaux.</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 xml:space="preserve">Déployé en 2025 en </w:t>
      </w:r>
      <w:r>
        <w:rPr>
          <w:rFonts w:ascii="Poppins" w:eastAsia="Poppins" w:hAnsi="Poppins" w:cs="Poppins"/>
          <w:b/>
          <w:bCs/>
          <w:sz w:val="20"/>
          <w:szCs w:val="20"/>
        </w:rPr>
        <w:t>Hauts-de-France, Normandie et Île-de-France</w:t>
      </w:r>
      <w:r>
        <w:rPr>
          <w:rFonts w:ascii="Poppins" w:eastAsia="Poppins" w:hAnsi="Poppins" w:cs="Poppins"/>
          <w:sz w:val="20"/>
          <w:szCs w:val="20"/>
        </w:rPr>
        <w:t>, ce partenariat a vocation à favoriser des formations implantées au plus près des bassins d'emploi et des publics accompagnés.</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sz w:val="20"/>
          <w:szCs w:val="20"/>
        </w:rPr>
        <w:t>Depuis 2021, le dispositif Les Geeks du Bâtiment a formé plus de 800 candidats et affiche un taux de plus de 75% de sorties positives (en cumulé pondéré), vers l’emploi ou la poursuite de formation.</w:t>
      </w:r>
    </w:p>
    <w:p w:rsidR="000A06FE" w:rsidRDefault="00A25C32">
      <w:pPr>
        <w:spacing w:after="120" w:line="240" w:lineRule="auto"/>
        <w:jc w:val="both"/>
        <w:rPr>
          <w:rFonts w:ascii="Poppins" w:eastAsia="Poppins" w:hAnsi="Poppins" w:cs="Poppins"/>
          <w:sz w:val="20"/>
          <w:szCs w:val="20"/>
        </w:rPr>
      </w:pPr>
      <w:r>
        <w:rPr>
          <w:rFonts w:ascii="Poppins" w:eastAsia="Poppins" w:hAnsi="Poppins" w:cs="Poppins"/>
          <w:noProof/>
          <w:sz w:val="20"/>
          <w:szCs w:val="20"/>
          <w:lang w:val="fr-FR"/>
        </w:rPr>
        <w:drawing>
          <wp:inline distT="114300" distB="114300" distL="114300" distR="114300">
            <wp:extent cx="5760410" cy="1435100"/>
            <wp:effectExtent l="0" t="0" r="0" b="0"/>
            <wp:docPr id="7234748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60410" cy="1435100"/>
                    </a:xfrm>
                    <a:prstGeom prst="rect">
                      <a:avLst/>
                    </a:prstGeom>
                    <a:ln/>
                  </pic:spPr>
                </pic:pic>
              </a:graphicData>
            </a:graphic>
          </wp:inline>
        </w:drawing>
      </w:r>
    </w:p>
    <w:sectPr w:rsidR="000A06FE">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charset w:val="00"/>
    <w:family w:val="auto"/>
    <w:pitch w:val="default"/>
  </w:font>
  <w:font w:name="Play">
    <w:charset w:val="00"/>
    <w:family w:val="auto"/>
    <w:pitch w:val="default"/>
    <w:embedRegular r:id="rId1" w:fontKey="{FD71BCB3-9B62-4116-853D-2D8045CD2D6F}"/>
  </w:font>
  <w:font w:name="Poppins">
    <w:charset w:val="00"/>
    <w:family w:val="auto"/>
    <w:pitch w:val="default"/>
    <w:embedRegular r:id="rId2" w:fontKey="{CB5D7D35-513A-4435-A003-EE358AD0E685}"/>
    <w:embedBold r:id="rId3" w:fontKey="{CB76EC32-9C46-49CB-854F-128B553E2C25}"/>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FE"/>
    <w:rsid w:val="000A06FE"/>
    <w:rsid w:val="004445F8"/>
    <w:rsid w:val="00A25C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C7C0B2-5486-4336-BF42-97D9A154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fr" w:eastAsia="fr-FR"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pPr>
      <w:keepNext/>
      <w:keepLines/>
      <w:spacing w:before="160" w:after="80"/>
      <w:outlineLvl w:val="1"/>
    </w:pPr>
    <w:rPr>
      <w:rFonts w:ascii="Poppins" w:eastAsia="Poppins" w:hAnsi="Poppins" w:cs="Poppins"/>
      <w:color w:val="392E73"/>
      <w:sz w:val="32"/>
      <w:szCs w:val="32"/>
    </w:rPr>
  </w:style>
  <w:style w:type="paragraph" w:styleId="Titre3">
    <w:name w:val="heading 3"/>
    <w:basedOn w:val="Normal"/>
    <w:next w:val="Normal"/>
    <w:pPr>
      <w:keepNext/>
      <w:keepLines/>
      <w:spacing w:before="160" w:after="80"/>
      <w:outlineLvl w:val="2"/>
    </w:pPr>
    <w:rPr>
      <w:color w:val="0F4761"/>
      <w:sz w:val="28"/>
      <w:szCs w:val="28"/>
    </w:rPr>
  </w:style>
  <w:style w:type="paragraph" w:styleId="Titre4">
    <w:name w:val="heading 4"/>
    <w:basedOn w:val="Normal"/>
    <w:next w:val="Normal"/>
    <w:pPr>
      <w:keepNext/>
      <w:keepLines/>
      <w:spacing w:before="80" w:after="40"/>
      <w:outlineLvl w:val="3"/>
    </w:pPr>
    <w:rPr>
      <w:i/>
      <w:iCs/>
      <w:color w:val="0F4761"/>
    </w:rPr>
  </w:style>
  <w:style w:type="paragraph" w:styleId="Titre5">
    <w:name w:val="heading 5"/>
    <w:basedOn w:val="Normal"/>
    <w:next w:val="Normal"/>
    <w:pPr>
      <w:keepNext/>
      <w:keepLines/>
      <w:spacing w:before="80" w:after="40"/>
      <w:outlineLvl w:val="4"/>
    </w:pPr>
    <w:rPr>
      <w:color w:val="0F4761"/>
    </w:rPr>
  </w:style>
  <w:style w:type="paragraph" w:styleId="Titre6">
    <w:name w:val="heading 6"/>
    <w:basedOn w:val="Normal"/>
    <w:next w:val="Normal"/>
    <w:pPr>
      <w:keepNext/>
      <w:keepLines/>
      <w:spacing w:before="40" w:after="0"/>
      <w:outlineLvl w:val="5"/>
    </w:pPr>
    <w:rPr>
      <w:i/>
      <w:iCs/>
      <w:color w:val="595959"/>
    </w:rPr>
  </w:style>
  <w:style w:type="paragraph" w:styleId="Titre7">
    <w:name w:val="heading 7"/>
    <w:basedOn w:val="Normal"/>
    <w:next w:val="Normal"/>
    <w:link w:val="Titre7Car"/>
    <w:uiPriority w:val="9"/>
    <w:semiHidden/>
    <w:unhideWhenUsed/>
    <w:qFormat/>
    <w:rsid w:val="001877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877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877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spacing w:after="80" w:line="240" w:lineRule="auto"/>
    </w:pPr>
    <w:rPr>
      <w:rFonts w:ascii="Play" w:eastAsia="Play" w:hAnsi="Play" w:cs="Play"/>
      <w:sz w:val="56"/>
      <w:szCs w:val="56"/>
    </w:rPr>
  </w:style>
  <w:style w:type="character" w:customStyle="1" w:styleId="Titre2Car">
    <w:name w:val="Titre 2 Car"/>
    <w:basedOn w:val="Policepardfaut"/>
    <w:uiPriority w:val="9"/>
    <w:rsid w:val="00A77A72"/>
    <w:rPr>
      <w:rFonts w:ascii="Poppins" w:eastAsiaTheme="majorEastAsia" w:hAnsi="Poppins" w:cstheme="majorBidi"/>
      <w:color w:val="392E73"/>
      <w:sz w:val="32"/>
      <w:szCs w:val="32"/>
    </w:rPr>
  </w:style>
  <w:style w:type="character" w:customStyle="1" w:styleId="Titre1Car">
    <w:name w:val="Titre 1 Car"/>
    <w:basedOn w:val="Policepardfaut"/>
    <w:uiPriority w:val="9"/>
    <w:rsid w:val="00187777"/>
    <w:rPr>
      <w:rFonts w:asciiTheme="majorHAnsi" w:eastAsiaTheme="majorEastAsia" w:hAnsiTheme="majorHAnsi" w:cstheme="majorBidi"/>
      <w:color w:val="0F4761" w:themeColor="accent1" w:themeShade="BF"/>
      <w:sz w:val="40"/>
      <w:szCs w:val="40"/>
    </w:rPr>
  </w:style>
  <w:style w:type="character" w:customStyle="1" w:styleId="Titre3Car">
    <w:name w:val="Titre 3 Car"/>
    <w:basedOn w:val="Policepardfaut"/>
    <w:uiPriority w:val="9"/>
    <w:rsid w:val="00187777"/>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187777"/>
    <w:rPr>
      <w:rFonts w:eastAsiaTheme="majorEastAsia" w:cstheme="majorBidi"/>
      <w:i/>
      <w:iCs/>
      <w:color w:val="0F4761" w:themeColor="accent1" w:themeShade="BF"/>
    </w:rPr>
  </w:style>
  <w:style w:type="character" w:customStyle="1" w:styleId="Titre5Car">
    <w:name w:val="Titre 5 Car"/>
    <w:basedOn w:val="Policepardfaut"/>
    <w:uiPriority w:val="9"/>
    <w:semiHidden/>
    <w:rsid w:val="00187777"/>
    <w:rPr>
      <w:rFonts w:eastAsiaTheme="majorEastAsia" w:cstheme="majorBidi"/>
      <w:color w:val="0F4761" w:themeColor="accent1" w:themeShade="BF"/>
    </w:rPr>
  </w:style>
  <w:style w:type="character" w:customStyle="1" w:styleId="Titre6Car">
    <w:name w:val="Titre 6 Car"/>
    <w:basedOn w:val="Policepardfaut"/>
    <w:uiPriority w:val="9"/>
    <w:semiHidden/>
    <w:rsid w:val="0018777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8777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8777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87777"/>
    <w:rPr>
      <w:rFonts w:eastAsiaTheme="majorEastAsia" w:cstheme="majorBidi"/>
      <w:color w:val="272727" w:themeColor="text1" w:themeTint="D8"/>
    </w:rPr>
  </w:style>
  <w:style w:type="character" w:customStyle="1" w:styleId="TitreCar">
    <w:name w:val="Titre Car"/>
    <w:basedOn w:val="Policepardfaut"/>
    <w:uiPriority w:val="10"/>
    <w:rsid w:val="00187777"/>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18777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87777"/>
    <w:pPr>
      <w:spacing w:before="160"/>
      <w:jc w:val="center"/>
    </w:pPr>
    <w:rPr>
      <w:i/>
      <w:iCs/>
      <w:color w:val="404040" w:themeColor="text1" w:themeTint="BF"/>
    </w:rPr>
  </w:style>
  <w:style w:type="character" w:customStyle="1" w:styleId="CitationCar">
    <w:name w:val="Citation Car"/>
    <w:basedOn w:val="Policepardfaut"/>
    <w:link w:val="Citation"/>
    <w:uiPriority w:val="29"/>
    <w:rsid w:val="00187777"/>
    <w:rPr>
      <w:i/>
      <w:iCs/>
      <w:color w:val="404040" w:themeColor="text1" w:themeTint="BF"/>
    </w:rPr>
  </w:style>
  <w:style w:type="paragraph" w:styleId="Paragraphedeliste">
    <w:name w:val="List Paragraph"/>
    <w:basedOn w:val="Normal"/>
    <w:uiPriority w:val="34"/>
    <w:qFormat/>
    <w:rsid w:val="00187777"/>
    <w:pPr>
      <w:ind w:left="720"/>
      <w:contextualSpacing/>
    </w:pPr>
  </w:style>
  <w:style w:type="character" w:styleId="Emphaseintense">
    <w:name w:val="Intense Emphasis"/>
    <w:basedOn w:val="Policepardfaut"/>
    <w:uiPriority w:val="21"/>
    <w:qFormat/>
    <w:rsid w:val="00187777"/>
    <w:rPr>
      <w:i/>
      <w:iCs/>
      <w:color w:val="0F4761" w:themeColor="accent1" w:themeShade="BF"/>
    </w:rPr>
  </w:style>
  <w:style w:type="paragraph" w:styleId="Citationintense">
    <w:name w:val="Intense Quote"/>
    <w:basedOn w:val="Normal"/>
    <w:next w:val="Normal"/>
    <w:link w:val="CitationintenseCar"/>
    <w:uiPriority w:val="30"/>
    <w:qFormat/>
    <w:rsid w:val="001877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87777"/>
    <w:rPr>
      <w:i/>
      <w:iCs/>
      <w:color w:val="0F4761" w:themeColor="accent1" w:themeShade="BF"/>
    </w:rPr>
  </w:style>
  <w:style w:type="character" w:styleId="Rfrenceintense">
    <w:name w:val="Intense Reference"/>
    <w:basedOn w:val="Policepardfaut"/>
    <w:uiPriority w:val="32"/>
    <w:qFormat/>
    <w:rsid w:val="00187777"/>
    <w:rPr>
      <w:b/>
      <w:bCs/>
      <w:smallCaps/>
      <w:color w:val="0F4761" w:themeColor="accent1" w:themeShade="BF"/>
      <w:spacing w:val="5"/>
    </w:rPr>
  </w:style>
  <w:style w:type="character" w:styleId="lev">
    <w:name w:val="Strong"/>
    <w:basedOn w:val="Policepardfaut"/>
    <w:uiPriority w:val="22"/>
    <w:qFormat/>
    <w:rsid w:val="00187777"/>
    <w:rPr>
      <w:b/>
      <w:bCs/>
    </w:rPr>
  </w:style>
  <w:style w:type="paragraph" w:styleId="NormalWeb">
    <w:name w:val="Normal (Web)"/>
    <w:basedOn w:val="Normal"/>
    <w:uiPriority w:val="99"/>
    <w:semiHidden/>
    <w:unhideWhenUsed/>
    <w:rsid w:val="00187777"/>
    <w:pPr>
      <w:spacing w:before="100" w:beforeAutospacing="1" w:after="100" w:afterAutospacing="1" w:line="240" w:lineRule="auto"/>
    </w:pPr>
    <w:rPr>
      <w:rFonts w:ascii="Times New Roman" w:eastAsia="Times New Roman" w:hAnsi="Times New Roman" w:cs="Times New Roman"/>
    </w:rPr>
  </w:style>
  <w:style w:type="table" w:styleId="Grilledutableau">
    <w:name w:val="Table Grid"/>
    <w:basedOn w:val="TableauNormal"/>
    <w:uiPriority w:val="39"/>
    <w:rsid w:val="00187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6F9ghumdlPEovPc/4Ca2ZN/LXw==">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5931</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Céline RATTEZ</dc:creator>
  <cp:lastModifiedBy>HABA Amel</cp:lastModifiedBy>
  <cp:revision>2</cp:revision>
  <dcterms:created xsi:type="dcterms:W3CDTF">2026-09-25T19:38:00Z</dcterms:created>
  <dcterms:modified xsi:type="dcterms:W3CDTF">2026-09-25T19:38:00Z</dcterms:modified>
</cp:coreProperties>
</file>